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60" w:rsidRPr="00FF76A9" w:rsidRDefault="00287160" w:rsidP="00287160">
      <w:pPr>
        <w:spacing w:line="360" w:lineRule="auto"/>
        <w:rPr>
          <w:rFonts w:asciiTheme="minorHAnsi" w:hAnsiTheme="minorHAnsi" w:cstheme="minorHAnsi"/>
          <w:b/>
          <w:sz w:val="20"/>
          <w:szCs w:val="20"/>
          <w:lang w:val="nl-NL"/>
        </w:rPr>
      </w:pPr>
      <w:r w:rsidRPr="00FF76A9">
        <w:rPr>
          <w:rFonts w:asciiTheme="minorHAnsi" w:hAnsiTheme="minorHAnsi" w:cstheme="minorHAnsi"/>
          <w:b/>
          <w:sz w:val="20"/>
          <w:szCs w:val="20"/>
          <w:lang w:val="nl-NL"/>
        </w:rPr>
        <w:t>Bijdrage 1</w:t>
      </w:r>
    </w:p>
    <w:p w:rsidR="00287160" w:rsidRDefault="00287160" w:rsidP="00287160">
      <w:pPr>
        <w:spacing w:line="360" w:lineRule="auto"/>
        <w:rPr>
          <w:rFonts w:asciiTheme="minorHAnsi" w:hAnsiTheme="minorHAnsi" w:cstheme="minorHAnsi"/>
          <w:sz w:val="20"/>
          <w:szCs w:val="20"/>
          <w:lang w:val="nl-NL"/>
        </w:rPr>
      </w:pPr>
      <w:r w:rsidRPr="00FF76A9">
        <w:rPr>
          <w:rFonts w:asciiTheme="minorHAnsi" w:hAnsiTheme="minorHAnsi" w:cstheme="minorHAnsi"/>
          <w:sz w:val="20"/>
          <w:szCs w:val="20"/>
          <w:lang w:val="nl-NL"/>
        </w:rPr>
        <w:t>Studenten die zelf op zoek gaan naar feedback: het effect van doelen en leerstrategie op feedback-zoekend gedrag</w:t>
      </w:r>
    </w:p>
    <w:p w:rsidR="00287160" w:rsidRPr="00FD036A" w:rsidRDefault="00287160" w:rsidP="00287160">
      <w:pPr>
        <w:spacing w:line="360" w:lineRule="auto"/>
        <w:rPr>
          <w:rFonts w:asciiTheme="minorHAnsi" w:hAnsiTheme="minorHAnsi" w:cstheme="minorHAnsi"/>
          <w:i/>
          <w:sz w:val="20"/>
          <w:szCs w:val="20"/>
          <w:lang w:val="nl-NL"/>
        </w:rPr>
      </w:pPr>
      <w:r w:rsidRPr="00FD036A">
        <w:rPr>
          <w:rFonts w:asciiTheme="minorHAnsi" w:hAnsiTheme="minorHAnsi" w:cstheme="minorHAnsi"/>
          <w:i/>
          <w:sz w:val="20"/>
          <w:szCs w:val="20"/>
          <w:lang w:val="nl-NL"/>
        </w:rPr>
        <w:t>Priscilla Hompus, Martijn Leenknecht, &amp; Marieke van der Schaaf</w:t>
      </w:r>
    </w:p>
    <w:p w:rsidR="00287160" w:rsidRPr="00FF76A9" w:rsidRDefault="00287160" w:rsidP="00287160">
      <w:pPr>
        <w:spacing w:line="360" w:lineRule="auto"/>
        <w:rPr>
          <w:rFonts w:asciiTheme="minorHAnsi" w:hAnsiTheme="minorHAnsi" w:cstheme="minorHAnsi"/>
          <w:sz w:val="20"/>
          <w:szCs w:val="20"/>
          <w:lang w:val="nl-NL"/>
        </w:rPr>
      </w:pPr>
    </w:p>
    <w:p w:rsidR="00287160" w:rsidRPr="00FF76A9" w:rsidRDefault="00287160" w:rsidP="00287160">
      <w:pPr>
        <w:spacing w:line="360" w:lineRule="auto"/>
        <w:rPr>
          <w:rFonts w:asciiTheme="minorHAnsi" w:hAnsiTheme="minorHAnsi" w:cstheme="minorHAnsi"/>
          <w:i/>
          <w:sz w:val="20"/>
          <w:szCs w:val="20"/>
          <w:lang w:val="nl-NL"/>
        </w:rPr>
      </w:pPr>
      <w:r w:rsidRPr="00FF76A9">
        <w:rPr>
          <w:rFonts w:asciiTheme="minorHAnsi" w:hAnsiTheme="minorHAnsi" w:cstheme="minorHAnsi"/>
          <w:i/>
          <w:sz w:val="20"/>
          <w:szCs w:val="20"/>
          <w:lang w:val="nl-NL"/>
        </w:rPr>
        <w:t>Inleiding, onderzoeksdoel en context</w:t>
      </w:r>
    </w:p>
    <w:p w:rsidR="00287160" w:rsidRPr="00FF76A9" w:rsidRDefault="00287160" w:rsidP="00287160">
      <w:pPr>
        <w:spacing w:line="360" w:lineRule="auto"/>
        <w:rPr>
          <w:rFonts w:asciiTheme="minorHAnsi" w:hAnsiTheme="minorHAnsi" w:cstheme="minorHAnsi"/>
          <w:sz w:val="20"/>
          <w:szCs w:val="20"/>
          <w:lang w:val="nl-NL"/>
        </w:rPr>
      </w:pPr>
      <w:r w:rsidRPr="00FF76A9">
        <w:rPr>
          <w:rFonts w:asciiTheme="minorHAnsi" w:hAnsiTheme="minorHAnsi" w:cstheme="minorHAnsi"/>
          <w:sz w:val="20"/>
          <w:szCs w:val="20"/>
          <w:lang w:val="nl-NL"/>
        </w:rPr>
        <w:t>In het hedendaagse hoger onderwijs willen we studenten eigenaar maken van hun eigen leerproces. Het aanmoedigen van feedback zoekend gedrag (FZG) is hierbij cruciaal (</w:t>
      </w:r>
      <w:proofErr w:type="spellStart"/>
      <w:r w:rsidRPr="00FF76A9">
        <w:rPr>
          <w:rFonts w:asciiTheme="minorHAnsi" w:hAnsiTheme="minorHAnsi" w:cstheme="minorHAnsi"/>
          <w:sz w:val="20"/>
          <w:szCs w:val="20"/>
          <w:lang w:val="nl-NL"/>
        </w:rPr>
        <w:t>Anseel</w:t>
      </w:r>
      <w:proofErr w:type="spellEnd"/>
      <w:r w:rsidRPr="00FF76A9">
        <w:rPr>
          <w:rFonts w:asciiTheme="minorHAnsi" w:hAnsiTheme="minorHAnsi" w:cstheme="minorHAnsi"/>
          <w:sz w:val="20"/>
          <w:szCs w:val="20"/>
          <w:lang w:val="nl-NL"/>
        </w:rPr>
        <w:t xml:space="preserve">, Lievens, &amp; </w:t>
      </w:r>
      <w:proofErr w:type="spellStart"/>
      <w:r w:rsidRPr="00FF76A9">
        <w:rPr>
          <w:rFonts w:asciiTheme="minorHAnsi" w:hAnsiTheme="minorHAnsi" w:cstheme="minorHAnsi"/>
          <w:sz w:val="20"/>
          <w:szCs w:val="20"/>
          <w:lang w:val="nl-NL"/>
        </w:rPr>
        <w:t>Levy</w:t>
      </w:r>
      <w:proofErr w:type="spellEnd"/>
      <w:r w:rsidRPr="00FF76A9">
        <w:rPr>
          <w:rFonts w:asciiTheme="minorHAnsi" w:hAnsiTheme="minorHAnsi" w:cstheme="minorHAnsi"/>
          <w:sz w:val="20"/>
          <w:szCs w:val="20"/>
          <w:lang w:val="nl-NL"/>
        </w:rPr>
        <w:t xml:space="preserve">, 2007; </w:t>
      </w:r>
      <w:proofErr w:type="spellStart"/>
      <w:r w:rsidRPr="00FF76A9">
        <w:rPr>
          <w:rFonts w:asciiTheme="minorHAnsi" w:hAnsiTheme="minorHAnsi" w:cstheme="minorHAnsi"/>
          <w:sz w:val="20"/>
          <w:szCs w:val="20"/>
          <w:lang w:val="nl-NL"/>
        </w:rPr>
        <w:t>Crommelinck</w:t>
      </w:r>
      <w:proofErr w:type="spellEnd"/>
      <w:r w:rsidRPr="00FF76A9">
        <w:rPr>
          <w:rFonts w:asciiTheme="minorHAnsi" w:hAnsiTheme="minorHAnsi" w:cstheme="minorHAnsi"/>
          <w:sz w:val="20"/>
          <w:szCs w:val="20"/>
          <w:lang w:val="nl-NL"/>
        </w:rPr>
        <w:t xml:space="preserve"> &amp; </w:t>
      </w:r>
      <w:proofErr w:type="spellStart"/>
      <w:r w:rsidRPr="00FF76A9">
        <w:rPr>
          <w:rFonts w:asciiTheme="minorHAnsi" w:hAnsiTheme="minorHAnsi" w:cstheme="minorHAnsi"/>
          <w:sz w:val="20"/>
          <w:szCs w:val="20"/>
          <w:lang w:val="nl-NL"/>
        </w:rPr>
        <w:t>Anseel</w:t>
      </w:r>
      <w:proofErr w:type="spellEnd"/>
      <w:r w:rsidRPr="00FF76A9">
        <w:rPr>
          <w:rFonts w:asciiTheme="minorHAnsi" w:hAnsiTheme="minorHAnsi" w:cstheme="minorHAnsi"/>
          <w:sz w:val="20"/>
          <w:szCs w:val="20"/>
          <w:lang w:val="nl-NL"/>
        </w:rPr>
        <w:t xml:space="preserve">, 2013). Toch weten we nog weinig over hoe we de proactieve houding van studenten kunnen bevorderen. Met de huidige studie willen we graag bijdragen aan de kennis over factoren die van invloed zijn op het FZG van studenten in het hbo.  </w:t>
      </w:r>
    </w:p>
    <w:p w:rsidR="00287160" w:rsidRPr="00FF76A9" w:rsidRDefault="00287160" w:rsidP="00287160">
      <w:pPr>
        <w:spacing w:line="360" w:lineRule="auto"/>
        <w:rPr>
          <w:rFonts w:asciiTheme="minorHAnsi" w:hAnsiTheme="minorHAnsi" w:cstheme="minorHAnsi"/>
          <w:sz w:val="20"/>
          <w:szCs w:val="20"/>
          <w:lang w:val="nl-NL"/>
        </w:rPr>
      </w:pPr>
    </w:p>
    <w:p w:rsidR="00287160" w:rsidRPr="00FF76A9" w:rsidRDefault="00287160" w:rsidP="00287160">
      <w:pPr>
        <w:spacing w:line="360" w:lineRule="auto"/>
        <w:rPr>
          <w:rFonts w:asciiTheme="minorHAnsi" w:hAnsiTheme="minorHAnsi" w:cstheme="minorHAnsi"/>
          <w:i/>
          <w:sz w:val="20"/>
          <w:szCs w:val="20"/>
          <w:lang w:val="nl-NL"/>
        </w:rPr>
      </w:pPr>
      <w:r w:rsidRPr="00FF76A9">
        <w:rPr>
          <w:rFonts w:asciiTheme="minorHAnsi" w:hAnsiTheme="minorHAnsi" w:cstheme="minorHAnsi"/>
          <w:i/>
          <w:sz w:val="20"/>
          <w:szCs w:val="20"/>
          <w:lang w:val="nl-NL"/>
        </w:rPr>
        <w:t>Theoretisch kader</w:t>
      </w:r>
    </w:p>
    <w:p w:rsidR="00287160" w:rsidRPr="00FF76A9" w:rsidRDefault="00287160" w:rsidP="00287160">
      <w:pPr>
        <w:spacing w:line="360" w:lineRule="auto"/>
        <w:rPr>
          <w:rFonts w:asciiTheme="minorHAnsi" w:hAnsiTheme="minorHAnsi" w:cstheme="minorHAnsi"/>
          <w:sz w:val="20"/>
          <w:szCs w:val="20"/>
          <w:lang w:val="nl-NL"/>
        </w:rPr>
      </w:pPr>
      <w:r w:rsidRPr="00FF76A9">
        <w:rPr>
          <w:rFonts w:asciiTheme="minorHAnsi" w:hAnsiTheme="minorHAnsi" w:cstheme="minorHAnsi"/>
          <w:sz w:val="20"/>
          <w:szCs w:val="20"/>
          <w:lang w:val="nl-NL"/>
        </w:rPr>
        <w:t>Er kunnen twee vormen van FZG worden onderscheiden: 1) het actief vragen naar feedback (</w:t>
      </w:r>
      <w:proofErr w:type="spellStart"/>
      <w:r w:rsidRPr="00FF76A9">
        <w:rPr>
          <w:rFonts w:asciiTheme="minorHAnsi" w:hAnsiTheme="minorHAnsi" w:cstheme="minorHAnsi"/>
          <w:sz w:val="20"/>
          <w:szCs w:val="20"/>
          <w:lang w:val="nl-NL"/>
        </w:rPr>
        <w:t>inquiry</w:t>
      </w:r>
      <w:proofErr w:type="spellEnd"/>
      <w:r w:rsidRPr="00FF76A9">
        <w:rPr>
          <w:rFonts w:asciiTheme="minorHAnsi" w:hAnsiTheme="minorHAnsi" w:cstheme="minorHAnsi"/>
          <w:sz w:val="20"/>
          <w:szCs w:val="20"/>
          <w:lang w:val="nl-NL"/>
        </w:rPr>
        <w:t xml:space="preserve">) en 2) het feedback deduceren uit observaties (monitoring; </w:t>
      </w:r>
      <w:proofErr w:type="spellStart"/>
      <w:r w:rsidRPr="00FF76A9">
        <w:rPr>
          <w:rFonts w:asciiTheme="minorHAnsi" w:hAnsiTheme="minorHAnsi" w:cstheme="minorHAnsi"/>
          <w:sz w:val="20"/>
          <w:szCs w:val="20"/>
          <w:lang w:val="nl-NL"/>
        </w:rPr>
        <w:t>Ashford</w:t>
      </w:r>
      <w:proofErr w:type="spellEnd"/>
      <w:r w:rsidRPr="00FF76A9">
        <w:rPr>
          <w:rFonts w:asciiTheme="minorHAnsi" w:hAnsiTheme="minorHAnsi" w:cstheme="minorHAnsi"/>
          <w:sz w:val="20"/>
          <w:szCs w:val="20"/>
          <w:lang w:val="nl-NL"/>
        </w:rPr>
        <w:t xml:space="preserve"> et al., 2003). De frequentie waarmee studenten feedback zoeken met één van beide methoden, wordt mogelijk beïnvloed door de doel-oriëntatie van de student (</w:t>
      </w:r>
      <w:proofErr w:type="spellStart"/>
      <w:r w:rsidRPr="00FF76A9">
        <w:rPr>
          <w:rFonts w:asciiTheme="minorHAnsi" w:hAnsiTheme="minorHAnsi" w:cstheme="minorHAnsi"/>
          <w:sz w:val="20"/>
          <w:szCs w:val="20"/>
          <w:lang w:val="nl-NL"/>
        </w:rPr>
        <w:t>mastery</w:t>
      </w:r>
      <w:proofErr w:type="spellEnd"/>
      <w:r w:rsidRPr="00FF76A9">
        <w:rPr>
          <w:rFonts w:asciiTheme="minorHAnsi" w:hAnsiTheme="minorHAnsi" w:cstheme="minorHAnsi"/>
          <w:sz w:val="20"/>
          <w:szCs w:val="20"/>
          <w:lang w:val="nl-NL"/>
        </w:rPr>
        <w:t>/performance) en of de student een diepe leerstrategie hanteert (</w:t>
      </w:r>
      <w:proofErr w:type="spellStart"/>
      <w:r w:rsidRPr="00FF76A9">
        <w:rPr>
          <w:rFonts w:asciiTheme="minorHAnsi" w:hAnsiTheme="minorHAnsi" w:cstheme="minorHAnsi"/>
          <w:sz w:val="20"/>
          <w:szCs w:val="20"/>
          <w:lang w:val="nl-NL"/>
        </w:rPr>
        <w:t>Anseel</w:t>
      </w:r>
      <w:proofErr w:type="spellEnd"/>
      <w:r w:rsidRPr="00FF76A9">
        <w:rPr>
          <w:rFonts w:asciiTheme="minorHAnsi" w:hAnsiTheme="minorHAnsi" w:cstheme="minorHAnsi"/>
          <w:sz w:val="20"/>
          <w:szCs w:val="20"/>
          <w:lang w:val="nl-NL"/>
        </w:rPr>
        <w:t xml:space="preserve"> et al., 2015; </w:t>
      </w:r>
      <w:proofErr w:type="spellStart"/>
      <w:r w:rsidRPr="00FF76A9">
        <w:rPr>
          <w:rFonts w:asciiTheme="minorHAnsi" w:hAnsiTheme="minorHAnsi" w:cstheme="minorHAnsi"/>
          <w:sz w:val="20"/>
          <w:szCs w:val="20"/>
          <w:lang w:val="nl-NL"/>
        </w:rPr>
        <w:t>Pintrich</w:t>
      </w:r>
      <w:proofErr w:type="spellEnd"/>
      <w:r w:rsidRPr="00FF76A9">
        <w:rPr>
          <w:rFonts w:asciiTheme="minorHAnsi" w:hAnsiTheme="minorHAnsi" w:cstheme="minorHAnsi"/>
          <w:sz w:val="20"/>
          <w:szCs w:val="20"/>
          <w:lang w:val="nl-NL"/>
        </w:rPr>
        <w:t xml:space="preserve">, 2000a).  </w:t>
      </w:r>
    </w:p>
    <w:p w:rsidR="00287160" w:rsidRPr="00FF76A9" w:rsidRDefault="00287160" w:rsidP="00287160">
      <w:pPr>
        <w:spacing w:line="360" w:lineRule="auto"/>
        <w:rPr>
          <w:rFonts w:asciiTheme="minorHAnsi" w:hAnsiTheme="minorHAnsi" w:cstheme="minorHAnsi"/>
          <w:sz w:val="20"/>
          <w:szCs w:val="20"/>
          <w:lang w:val="nl-NL"/>
        </w:rPr>
      </w:pPr>
    </w:p>
    <w:p w:rsidR="00287160" w:rsidRPr="00FF76A9" w:rsidRDefault="00287160" w:rsidP="00287160">
      <w:pPr>
        <w:spacing w:line="360" w:lineRule="auto"/>
        <w:rPr>
          <w:rFonts w:asciiTheme="minorHAnsi" w:hAnsiTheme="minorHAnsi" w:cstheme="minorHAnsi"/>
          <w:i/>
          <w:sz w:val="20"/>
          <w:szCs w:val="20"/>
          <w:lang w:val="nl-NL"/>
        </w:rPr>
      </w:pPr>
      <w:r w:rsidRPr="00FF76A9">
        <w:rPr>
          <w:rFonts w:asciiTheme="minorHAnsi" w:hAnsiTheme="minorHAnsi" w:cstheme="minorHAnsi"/>
          <w:i/>
          <w:sz w:val="20"/>
          <w:szCs w:val="20"/>
          <w:lang w:val="nl-NL"/>
        </w:rPr>
        <w:t>Onderzoeksvraag</w:t>
      </w:r>
    </w:p>
    <w:p w:rsidR="00287160" w:rsidRPr="00FF76A9" w:rsidRDefault="00287160" w:rsidP="00287160">
      <w:pPr>
        <w:spacing w:line="360" w:lineRule="auto"/>
        <w:rPr>
          <w:rFonts w:asciiTheme="minorHAnsi" w:hAnsiTheme="minorHAnsi" w:cstheme="minorHAnsi"/>
          <w:sz w:val="20"/>
          <w:szCs w:val="20"/>
          <w:lang w:val="nl-NL"/>
        </w:rPr>
      </w:pPr>
      <w:r>
        <w:rPr>
          <w:rFonts w:asciiTheme="minorHAnsi" w:hAnsiTheme="minorHAnsi" w:cstheme="minorHAnsi"/>
          <w:sz w:val="20"/>
          <w:szCs w:val="20"/>
          <w:lang w:val="nl-NL"/>
        </w:rPr>
        <w:t xml:space="preserve">De onderzoeksvraag luidt: </w:t>
      </w:r>
      <w:r w:rsidRPr="0093646D">
        <w:rPr>
          <w:rFonts w:asciiTheme="minorHAnsi" w:hAnsiTheme="minorHAnsi" w:cstheme="minorHAnsi"/>
          <w:i/>
          <w:sz w:val="20"/>
          <w:szCs w:val="20"/>
          <w:lang w:val="nl-NL"/>
        </w:rPr>
        <w:t>Op welke wijze kan het feedback zoekend gedrag van eerstejaars hbo-studenten voorspeld worden door doel-oriëntatie en diepe leerstrategie?</w:t>
      </w:r>
      <w:r w:rsidRPr="00FF76A9">
        <w:rPr>
          <w:rFonts w:asciiTheme="minorHAnsi" w:hAnsiTheme="minorHAnsi" w:cstheme="minorHAnsi"/>
          <w:sz w:val="20"/>
          <w:szCs w:val="20"/>
          <w:lang w:val="nl-NL"/>
        </w:rPr>
        <w:t xml:space="preserve"> </w:t>
      </w:r>
    </w:p>
    <w:p w:rsidR="00287160" w:rsidRPr="00FF76A9" w:rsidRDefault="00287160" w:rsidP="00287160">
      <w:pPr>
        <w:spacing w:line="360" w:lineRule="auto"/>
        <w:rPr>
          <w:rFonts w:asciiTheme="minorHAnsi" w:hAnsiTheme="minorHAnsi" w:cstheme="minorHAnsi"/>
          <w:sz w:val="20"/>
          <w:szCs w:val="20"/>
          <w:lang w:val="nl-NL"/>
        </w:rPr>
      </w:pPr>
    </w:p>
    <w:p w:rsidR="00287160" w:rsidRPr="00E37F6F" w:rsidRDefault="00287160" w:rsidP="00287160">
      <w:pPr>
        <w:spacing w:line="360" w:lineRule="auto"/>
        <w:rPr>
          <w:rFonts w:asciiTheme="minorHAnsi" w:hAnsiTheme="minorHAnsi" w:cstheme="minorHAnsi"/>
          <w:i/>
          <w:sz w:val="20"/>
          <w:szCs w:val="20"/>
          <w:lang w:val="nl-NL"/>
        </w:rPr>
      </w:pPr>
      <w:r w:rsidRPr="00E37F6F">
        <w:rPr>
          <w:rFonts w:asciiTheme="minorHAnsi" w:hAnsiTheme="minorHAnsi" w:cstheme="minorHAnsi"/>
          <w:i/>
          <w:sz w:val="20"/>
          <w:szCs w:val="20"/>
          <w:lang w:val="nl-NL"/>
        </w:rPr>
        <w:t>Methode van onderzoek</w:t>
      </w:r>
    </w:p>
    <w:p w:rsidR="00287160" w:rsidRPr="00FF76A9" w:rsidRDefault="00287160" w:rsidP="00287160">
      <w:pPr>
        <w:spacing w:line="360" w:lineRule="auto"/>
        <w:rPr>
          <w:rFonts w:asciiTheme="minorHAnsi" w:hAnsiTheme="minorHAnsi" w:cstheme="minorHAnsi"/>
          <w:sz w:val="20"/>
          <w:szCs w:val="20"/>
          <w:lang w:val="nl-NL"/>
        </w:rPr>
      </w:pPr>
      <w:r w:rsidRPr="00FF76A9">
        <w:rPr>
          <w:rFonts w:asciiTheme="minorHAnsi" w:hAnsiTheme="minorHAnsi" w:cstheme="minorHAnsi"/>
          <w:sz w:val="20"/>
          <w:szCs w:val="20"/>
          <w:lang w:val="nl-NL"/>
        </w:rPr>
        <w:t xml:space="preserve">80 eerstejaars hbo-studenten die participeerden in projectonderwijs zijn gevraagd om na zes weken een vragenlijst in te vullen over hun FZG, doel-oriëntatie, en diepe leerstrategie. De relaties tussen </w:t>
      </w:r>
      <w:proofErr w:type="spellStart"/>
      <w:r w:rsidRPr="00FF76A9">
        <w:rPr>
          <w:rFonts w:asciiTheme="minorHAnsi" w:hAnsiTheme="minorHAnsi" w:cstheme="minorHAnsi"/>
          <w:sz w:val="20"/>
          <w:szCs w:val="20"/>
          <w:lang w:val="nl-NL"/>
        </w:rPr>
        <w:t>mastery</w:t>
      </w:r>
      <w:proofErr w:type="spellEnd"/>
      <w:r w:rsidRPr="00FF76A9">
        <w:rPr>
          <w:rFonts w:asciiTheme="minorHAnsi" w:hAnsiTheme="minorHAnsi" w:cstheme="minorHAnsi"/>
          <w:sz w:val="20"/>
          <w:szCs w:val="20"/>
          <w:lang w:val="nl-NL"/>
        </w:rPr>
        <w:t xml:space="preserve">- en performance doel-oriëntatie (onafhankelijke), diepe leerstrategie (mediator) en </w:t>
      </w:r>
      <w:proofErr w:type="spellStart"/>
      <w:r w:rsidRPr="00FF76A9">
        <w:rPr>
          <w:rFonts w:asciiTheme="minorHAnsi" w:hAnsiTheme="minorHAnsi" w:cstheme="minorHAnsi"/>
          <w:sz w:val="20"/>
          <w:szCs w:val="20"/>
          <w:lang w:val="nl-NL"/>
        </w:rPr>
        <w:t>inquiry</w:t>
      </w:r>
      <w:proofErr w:type="spellEnd"/>
      <w:r w:rsidRPr="00FF76A9">
        <w:rPr>
          <w:rFonts w:asciiTheme="minorHAnsi" w:hAnsiTheme="minorHAnsi" w:cstheme="minorHAnsi"/>
          <w:sz w:val="20"/>
          <w:szCs w:val="20"/>
          <w:lang w:val="nl-NL"/>
        </w:rPr>
        <w:t xml:space="preserve">- en monitoring FZG (afhankelijke) zijn onderzocht middels vier mediatieanalyses. Vervolgens zijn verdiepende analyses uitgevoerd met drie meervoudige regressieanalyses, inclusief interactie-effect, naar hoe </w:t>
      </w:r>
      <w:proofErr w:type="spellStart"/>
      <w:r w:rsidRPr="00FF76A9">
        <w:rPr>
          <w:rFonts w:asciiTheme="minorHAnsi" w:hAnsiTheme="minorHAnsi" w:cstheme="minorHAnsi"/>
          <w:sz w:val="20"/>
          <w:szCs w:val="20"/>
          <w:lang w:val="nl-NL"/>
        </w:rPr>
        <w:t>mastery</w:t>
      </w:r>
      <w:proofErr w:type="spellEnd"/>
      <w:r w:rsidRPr="00FF76A9">
        <w:rPr>
          <w:rFonts w:asciiTheme="minorHAnsi" w:hAnsiTheme="minorHAnsi" w:cstheme="minorHAnsi"/>
          <w:sz w:val="20"/>
          <w:szCs w:val="20"/>
          <w:lang w:val="nl-NL"/>
        </w:rPr>
        <w:t xml:space="preserve">- en performance doel-oriëntatie tezamen invloed uitoefenen op zowel </w:t>
      </w:r>
      <w:proofErr w:type="spellStart"/>
      <w:r w:rsidRPr="00FF76A9">
        <w:rPr>
          <w:rFonts w:asciiTheme="minorHAnsi" w:hAnsiTheme="minorHAnsi" w:cstheme="minorHAnsi"/>
          <w:sz w:val="20"/>
          <w:szCs w:val="20"/>
          <w:lang w:val="nl-NL"/>
        </w:rPr>
        <w:t>inquiry</w:t>
      </w:r>
      <w:proofErr w:type="spellEnd"/>
      <w:r w:rsidRPr="00FF76A9">
        <w:rPr>
          <w:rFonts w:asciiTheme="minorHAnsi" w:hAnsiTheme="minorHAnsi" w:cstheme="minorHAnsi"/>
          <w:sz w:val="20"/>
          <w:szCs w:val="20"/>
          <w:lang w:val="nl-NL"/>
        </w:rPr>
        <w:t>- en monitoring FZG als een diepe leerstrategie.</w:t>
      </w:r>
    </w:p>
    <w:p w:rsidR="00287160" w:rsidRPr="00FF76A9" w:rsidRDefault="00287160" w:rsidP="00287160">
      <w:pPr>
        <w:spacing w:line="360" w:lineRule="auto"/>
        <w:rPr>
          <w:rFonts w:asciiTheme="minorHAnsi" w:hAnsiTheme="minorHAnsi" w:cstheme="minorHAnsi"/>
          <w:sz w:val="20"/>
          <w:szCs w:val="20"/>
          <w:lang w:val="nl-NL"/>
        </w:rPr>
      </w:pPr>
    </w:p>
    <w:p w:rsidR="00287160" w:rsidRPr="00FF76A9" w:rsidRDefault="00287160" w:rsidP="00287160">
      <w:pPr>
        <w:spacing w:line="360" w:lineRule="auto"/>
        <w:rPr>
          <w:rFonts w:asciiTheme="minorHAnsi" w:hAnsiTheme="minorHAnsi" w:cstheme="minorHAnsi"/>
          <w:i/>
          <w:sz w:val="20"/>
          <w:szCs w:val="20"/>
          <w:lang w:val="nl-NL"/>
        </w:rPr>
      </w:pPr>
      <w:r w:rsidRPr="00FF76A9">
        <w:rPr>
          <w:rFonts w:asciiTheme="minorHAnsi" w:hAnsiTheme="minorHAnsi" w:cstheme="minorHAnsi"/>
          <w:i/>
          <w:sz w:val="20"/>
          <w:szCs w:val="20"/>
          <w:lang w:val="nl-NL"/>
        </w:rPr>
        <w:t>Resultaten en onderbouwde conclusies</w:t>
      </w:r>
    </w:p>
    <w:p w:rsidR="00287160" w:rsidRPr="00FF76A9" w:rsidRDefault="00287160" w:rsidP="00287160">
      <w:pPr>
        <w:spacing w:line="360" w:lineRule="auto"/>
        <w:rPr>
          <w:rFonts w:asciiTheme="minorHAnsi" w:hAnsiTheme="minorHAnsi" w:cstheme="minorHAnsi"/>
          <w:sz w:val="20"/>
          <w:szCs w:val="20"/>
          <w:lang w:val="nl-NL"/>
        </w:rPr>
      </w:pPr>
      <w:r w:rsidRPr="00FF76A9">
        <w:rPr>
          <w:rFonts w:asciiTheme="minorHAnsi" w:hAnsiTheme="minorHAnsi" w:cstheme="minorHAnsi"/>
          <w:sz w:val="20"/>
          <w:szCs w:val="20"/>
          <w:lang w:val="nl-NL"/>
        </w:rPr>
        <w:t xml:space="preserve">Het FZG van hbo-studenten wordt positief voorspeld door de mate waarin zij een </w:t>
      </w:r>
      <w:proofErr w:type="spellStart"/>
      <w:r w:rsidRPr="00FF76A9">
        <w:rPr>
          <w:rFonts w:asciiTheme="minorHAnsi" w:hAnsiTheme="minorHAnsi" w:cstheme="minorHAnsi"/>
          <w:sz w:val="20"/>
          <w:szCs w:val="20"/>
          <w:lang w:val="nl-NL"/>
        </w:rPr>
        <w:t>mastery</w:t>
      </w:r>
      <w:proofErr w:type="spellEnd"/>
      <w:r w:rsidRPr="00FF76A9">
        <w:rPr>
          <w:rFonts w:asciiTheme="minorHAnsi" w:hAnsiTheme="minorHAnsi" w:cstheme="minorHAnsi"/>
          <w:sz w:val="20"/>
          <w:szCs w:val="20"/>
          <w:lang w:val="nl-NL"/>
        </w:rPr>
        <w:t xml:space="preserve">- en performance doel-oriëntatie en een diepe leerstrategie hebben. In de relatie tussen </w:t>
      </w:r>
      <w:proofErr w:type="spellStart"/>
      <w:r w:rsidRPr="00FF76A9">
        <w:rPr>
          <w:rFonts w:asciiTheme="minorHAnsi" w:hAnsiTheme="minorHAnsi" w:cstheme="minorHAnsi"/>
          <w:sz w:val="20"/>
          <w:szCs w:val="20"/>
          <w:lang w:val="nl-NL"/>
        </w:rPr>
        <w:t>mastery</w:t>
      </w:r>
      <w:proofErr w:type="spellEnd"/>
      <w:r w:rsidRPr="00FF76A9">
        <w:rPr>
          <w:rFonts w:asciiTheme="minorHAnsi" w:hAnsiTheme="minorHAnsi" w:cstheme="minorHAnsi"/>
          <w:sz w:val="20"/>
          <w:szCs w:val="20"/>
          <w:lang w:val="nl-NL"/>
        </w:rPr>
        <w:t xml:space="preserve"> doel-oriëntatie en </w:t>
      </w:r>
      <w:proofErr w:type="spellStart"/>
      <w:r w:rsidRPr="00FF76A9">
        <w:rPr>
          <w:rFonts w:asciiTheme="minorHAnsi" w:hAnsiTheme="minorHAnsi" w:cstheme="minorHAnsi"/>
          <w:sz w:val="20"/>
          <w:szCs w:val="20"/>
          <w:lang w:val="nl-NL"/>
        </w:rPr>
        <w:t>inquiry</w:t>
      </w:r>
      <w:proofErr w:type="spellEnd"/>
      <w:r w:rsidRPr="00FF76A9">
        <w:rPr>
          <w:rFonts w:asciiTheme="minorHAnsi" w:hAnsiTheme="minorHAnsi" w:cstheme="minorHAnsi"/>
          <w:sz w:val="20"/>
          <w:szCs w:val="20"/>
          <w:lang w:val="nl-NL"/>
        </w:rPr>
        <w:t xml:space="preserve"> is een diepe leerstrategie een partiële mediator. Daarentegen is diepe leerstrategie een volledige mediator in de relaties tussen (1) performance doel-oriëntatie en </w:t>
      </w:r>
      <w:proofErr w:type="spellStart"/>
      <w:r w:rsidRPr="00FF76A9">
        <w:rPr>
          <w:rFonts w:asciiTheme="minorHAnsi" w:hAnsiTheme="minorHAnsi" w:cstheme="minorHAnsi"/>
          <w:sz w:val="20"/>
          <w:szCs w:val="20"/>
          <w:lang w:val="nl-NL"/>
        </w:rPr>
        <w:t>inquiry</w:t>
      </w:r>
      <w:proofErr w:type="spellEnd"/>
      <w:r w:rsidRPr="00FF76A9">
        <w:rPr>
          <w:rFonts w:asciiTheme="minorHAnsi" w:hAnsiTheme="minorHAnsi" w:cstheme="minorHAnsi"/>
          <w:sz w:val="20"/>
          <w:szCs w:val="20"/>
          <w:lang w:val="nl-NL"/>
        </w:rPr>
        <w:t xml:space="preserve">, (2) </w:t>
      </w:r>
      <w:proofErr w:type="spellStart"/>
      <w:r w:rsidRPr="00FF76A9">
        <w:rPr>
          <w:rFonts w:asciiTheme="minorHAnsi" w:hAnsiTheme="minorHAnsi" w:cstheme="minorHAnsi"/>
          <w:sz w:val="20"/>
          <w:szCs w:val="20"/>
          <w:lang w:val="nl-NL"/>
        </w:rPr>
        <w:t>mastery</w:t>
      </w:r>
      <w:proofErr w:type="spellEnd"/>
      <w:r w:rsidRPr="00FF76A9">
        <w:rPr>
          <w:rFonts w:asciiTheme="minorHAnsi" w:hAnsiTheme="minorHAnsi" w:cstheme="minorHAnsi"/>
          <w:sz w:val="20"/>
          <w:szCs w:val="20"/>
          <w:lang w:val="nl-NL"/>
        </w:rPr>
        <w:t xml:space="preserve"> doel-oriëntatie  en monitoring en (3) performance doel-oriëntatie en monitoring (zie figuur 1 en 2). Uit het verdiepende onderzoek blijkt dat zowel </w:t>
      </w:r>
      <w:proofErr w:type="spellStart"/>
      <w:r w:rsidRPr="00FF76A9">
        <w:rPr>
          <w:rFonts w:asciiTheme="minorHAnsi" w:hAnsiTheme="minorHAnsi" w:cstheme="minorHAnsi"/>
          <w:sz w:val="20"/>
          <w:szCs w:val="20"/>
          <w:lang w:val="nl-NL"/>
        </w:rPr>
        <w:lastRenderedPageBreak/>
        <w:t>inquiry</w:t>
      </w:r>
      <w:proofErr w:type="spellEnd"/>
      <w:r w:rsidRPr="00FF76A9">
        <w:rPr>
          <w:rFonts w:asciiTheme="minorHAnsi" w:hAnsiTheme="minorHAnsi" w:cstheme="minorHAnsi"/>
          <w:sz w:val="20"/>
          <w:szCs w:val="20"/>
          <w:lang w:val="nl-NL"/>
        </w:rPr>
        <w:t xml:space="preserve">- als monitoring het beste voorspeld kunnen worden door alleen </w:t>
      </w:r>
      <w:proofErr w:type="spellStart"/>
      <w:r w:rsidRPr="00FF76A9">
        <w:rPr>
          <w:rFonts w:asciiTheme="minorHAnsi" w:hAnsiTheme="minorHAnsi" w:cstheme="minorHAnsi"/>
          <w:sz w:val="20"/>
          <w:szCs w:val="20"/>
          <w:lang w:val="nl-NL"/>
        </w:rPr>
        <w:t>mastery</w:t>
      </w:r>
      <w:proofErr w:type="spellEnd"/>
      <w:r w:rsidRPr="00FF76A9">
        <w:rPr>
          <w:rFonts w:asciiTheme="minorHAnsi" w:hAnsiTheme="minorHAnsi" w:cstheme="minorHAnsi"/>
          <w:sz w:val="20"/>
          <w:szCs w:val="20"/>
          <w:lang w:val="nl-NL"/>
        </w:rPr>
        <w:t xml:space="preserve"> doel-oriëntatie en er een negatief interactie-effect is  tussen performance- en </w:t>
      </w:r>
      <w:proofErr w:type="spellStart"/>
      <w:r w:rsidRPr="00FF76A9">
        <w:rPr>
          <w:rFonts w:asciiTheme="minorHAnsi" w:hAnsiTheme="minorHAnsi" w:cstheme="minorHAnsi"/>
          <w:sz w:val="20"/>
          <w:szCs w:val="20"/>
          <w:lang w:val="nl-NL"/>
        </w:rPr>
        <w:t>mastery</w:t>
      </w:r>
      <w:proofErr w:type="spellEnd"/>
      <w:r w:rsidRPr="00FF76A9">
        <w:rPr>
          <w:rFonts w:asciiTheme="minorHAnsi" w:hAnsiTheme="minorHAnsi" w:cstheme="minorHAnsi"/>
          <w:sz w:val="20"/>
          <w:szCs w:val="20"/>
          <w:lang w:val="nl-NL"/>
        </w:rPr>
        <w:t xml:space="preserve"> doel-oriëntatie (zie tabel 1). </w:t>
      </w:r>
    </w:p>
    <w:p w:rsidR="00287160" w:rsidRPr="00FF76A9" w:rsidRDefault="00287160" w:rsidP="00287160">
      <w:pPr>
        <w:spacing w:line="360" w:lineRule="auto"/>
        <w:rPr>
          <w:rFonts w:asciiTheme="minorHAnsi" w:hAnsiTheme="minorHAnsi" w:cstheme="minorHAnsi"/>
          <w:sz w:val="20"/>
          <w:szCs w:val="20"/>
          <w:lang w:val="nl-NL"/>
        </w:rPr>
      </w:pPr>
    </w:p>
    <w:p w:rsidR="00287160" w:rsidRPr="00FF76A9" w:rsidRDefault="00287160" w:rsidP="00287160">
      <w:pPr>
        <w:spacing w:line="360" w:lineRule="auto"/>
        <w:jc w:val="both"/>
        <w:rPr>
          <w:rFonts w:asciiTheme="minorHAnsi" w:hAnsiTheme="minorHAnsi" w:cstheme="minorHAnsi"/>
          <w:i/>
          <w:sz w:val="20"/>
          <w:szCs w:val="20"/>
        </w:rPr>
      </w:pPr>
      <w:r w:rsidRPr="00FF76A9">
        <w:rPr>
          <w:rFonts w:asciiTheme="minorHAnsi" w:hAnsiTheme="minorHAnsi" w:cstheme="minorHAnsi"/>
          <w:i/>
          <w:noProof/>
          <w:sz w:val="20"/>
          <w:szCs w:val="20"/>
        </w:rPr>
        <w:drawing>
          <wp:inline distT="0" distB="0" distL="0" distR="0" wp14:anchorId="36B63B2F" wp14:editId="080946E1">
            <wp:extent cx="422910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l="1436" r="2"/>
                    <a:stretch>
                      <a:fillRect/>
                    </a:stretch>
                  </pic:blipFill>
                  <pic:spPr bwMode="auto">
                    <a:xfrm>
                      <a:off x="0" y="0"/>
                      <a:ext cx="4229100" cy="1619250"/>
                    </a:xfrm>
                    <a:prstGeom prst="rect">
                      <a:avLst/>
                    </a:prstGeom>
                    <a:noFill/>
                    <a:ln>
                      <a:noFill/>
                    </a:ln>
                  </pic:spPr>
                </pic:pic>
              </a:graphicData>
            </a:graphic>
          </wp:inline>
        </w:drawing>
      </w:r>
    </w:p>
    <w:p w:rsidR="00287160" w:rsidRPr="00FF76A9" w:rsidRDefault="00287160" w:rsidP="00287160">
      <w:pPr>
        <w:spacing w:line="360" w:lineRule="auto"/>
        <w:jc w:val="both"/>
        <w:rPr>
          <w:rFonts w:asciiTheme="minorHAnsi" w:hAnsiTheme="minorHAnsi" w:cstheme="minorHAnsi"/>
          <w:sz w:val="20"/>
          <w:szCs w:val="20"/>
          <w:lang w:val="nl-NL"/>
        </w:rPr>
      </w:pPr>
      <w:r w:rsidRPr="00FF76A9">
        <w:rPr>
          <w:rFonts w:asciiTheme="minorHAnsi" w:hAnsiTheme="minorHAnsi" w:cstheme="minorHAnsi"/>
          <w:i/>
          <w:sz w:val="20"/>
          <w:szCs w:val="20"/>
          <w:lang w:val="nl-NL"/>
        </w:rPr>
        <w:t>Figuur 1.</w:t>
      </w:r>
      <w:r w:rsidRPr="00FF76A9">
        <w:rPr>
          <w:rFonts w:asciiTheme="minorHAnsi" w:hAnsiTheme="minorHAnsi" w:cstheme="minorHAnsi"/>
          <w:sz w:val="20"/>
          <w:szCs w:val="20"/>
          <w:lang w:val="nl-NL"/>
        </w:rPr>
        <w:t xml:space="preserve">  Resultaten mediatieanalyses </w:t>
      </w:r>
      <w:proofErr w:type="spellStart"/>
      <w:r w:rsidRPr="00FF76A9">
        <w:rPr>
          <w:rFonts w:asciiTheme="minorHAnsi" w:hAnsiTheme="minorHAnsi" w:cstheme="minorHAnsi"/>
          <w:sz w:val="20"/>
          <w:szCs w:val="20"/>
          <w:lang w:val="nl-NL"/>
        </w:rPr>
        <w:t>mastery</w:t>
      </w:r>
      <w:proofErr w:type="spellEnd"/>
      <w:r w:rsidRPr="00FF76A9">
        <w:rPr>
          <w:rFonts w:asciiTheme="minorHAnsi" w:hAnsiTheme="minorHAnsi" w:cstheme="minorHAnsi"/>
          <w:sz w:val="20"/>
          <w:szCs w:val="20"/>
          <w:lang w:val="nl-NL"/>
        </w:rPr>
        <w:t xml:space="preserve"> doel-oriëntatie op </w:t>
      </w:r>
      <w:proofErr w:type="spellStart"/>
      <w:r w:rsidRPr="00FF76A9">
        <w:rPr>
          <w:rFonts w:asciiTheme="minorHAnsi" w:hAnsiTheme="minorHAnsi" w:cstheme="minorHAnsi"/>
          <w:sz w:val="20"/>
          <w:szCs w:val="20"/>
          <w:lang w:val="nl-NL"/>
        </w:rPr>
        <w:t>inquiry</w:t>
      </w:r>
      <w:proofErr w:type="spellEnd"/>
      <w:r w:rsidRPr="00FF76A9">
        <w:rPr>
          <w:rFonts w:asciiTheme="minorHAnsi" w:hAnsiTheme="minorHAnsi" w:cstheme="minorHAnsi"/>
          <w:sz w:val="20"/>
          <w:szCs w:val="20"/>
          <w:lang w:val="nl-NL"/>
        </w:rPr>
        <w:t>- en monitoring FZG gemedieerd door een diepe leerstrategie</w:t>
      </w:r>
    </w:p>
    <w:p w:rsidR="00287160" w:rsidRPr="00FF76A9" w:rsidRDefault="00287160" w:rsidP="00287160">
      <w:pPr>
        <w:spacing w:line="360" w:lineRule="auto"/>
        <w:jc w:val="both"/>
        <w:rPr>
          <w:rFonts w:asciiTheme="minorHAnsi" w:hAnsiTheme="minorHAnsi" w:cstheme="minorHAnsi"/>
          <w:sz w:val="20"/>
          <w:szCs w:val="20"/>
          <w:lang w:val="nl-NL"/>
        </w:rPr>
      </w:pPr>
      <w:r w:rsidRPr="00FF76A9">
        <w:rPr>
          <w:rFonts w:asciiTheme="minorHAnsi" w:hAnsiTheme="minorHAnsi" w:cstheme="minorHAnsi"/>
          <w:i/>
          <w:sz w:val="20"/>
          <w:szCs w:val="20"/>
          <w:lang w:val="nl-NL"/>
        </w:rPr>
        <w:t>Noot.</w:t>
      </w:r>
      <w:r w:rsidRPr="00FF76A9">
        <w:rPr>
          <w:rFonts w:asciiTheme="minorHAnsi" w:hAnsiTheme="minorHAnsi" w:cstheme="minorHAnsi"/>
          <w:sz w:val="20"/>
          <w:szCs w:val="20"/>
          <w:lang w:val="nl-NL"/>
        </w:rPr>
        <w:t xml:space="preserve"> *</w:t>
      </w:r>
      <w:r w:rsidRPr="00FF76A9">
        <w:rPr>
          <w:rFonts w:asciiTheme="minorHAnsi" w:hAnsiTheme="minorHAnsi" w:cstheme="minorHAnsi"/>
          <w:i/>
          <w:sz w:val="20"/>
          <w:szCs w:val="20"/>
          <w:lang w:val="nl-NL"/>
        </w:rPr>
        <w:t>p=</w:t>
      </w:r>
      <w:r w:rsidRPr="00FF76A9">
        <w:rPr>
          <w:rFonts w:asciiTheme="minorHAnsi" w:hAnsiTheme="minorHAnsi" w:cstheme="minorHAnsi"/>
          <w:sz w:val="20"/>
          <w:szCs w:val="20"/>
          <w:lang w:val="nl-NL"/>
        </w:rPr>
        <w:t>&lt;.05, **</w:t>
      </w:r>
      <w:r w:rsidRPr="00FF76A9">
        <w:rPr>
          <w:rFonts w:asciiTheme="minorHAnsi" w:hAnsiTheme="minorHAnsi" w:cstheme="minorHAnsi"/>
          <w:i/>
          <w:sz w:val="20"/>
          <w:szCs w:val="20"/>
          <w:lang w:val="nl-NL"/>
        </w:rPr>
        <w:t>p</w:t>
      </w:r>
      <w:r w:rsidRPr="00FF76A9">
        <w:rPr>
          <w:rFonts w:asciiTheme="minorHAnsi" w:hAnsiTheme="minorHAnsi" w:cstheme="minorHAnsi"/>
          <w:sz w:val="20"/>
          <w:szCs w:val="20"/>
          <w:lang w:val="nl-NL"/>
        </w:rPr>
        <w:t>=&lt;.01, ***</w:t>
      </w:r>
      <w:r w:rsidRPr="00FF76A9">
        <w:rPr>
          <w:rFonts w:asciiTheme="minorHAnsi" w:hAnsiTheme="minorHAnsi" w:cstheme="minorHAnsi"/>
          <w:i/>
          <w:sz w:val="20"/>
          <w:szCs w:val="20"/>
          <w:lang w:val="nl-NL"/>
        </w:rPr>
        <w:t>p</w:t>
      </w:r>
      <w:r w:rsidRPr="00FF76A9">
        <w:rPr>
          <w:rFonts w:asciiTheme="minorHAnsi" w:hAnsiTheme="minorHAnsi" w:cstheme="minorHAnsi"/>
          <w:sz w:val="20"/>
          <w:szCs w:val="20"/>
          <w:lang w:val="nl-NL"/>
        </w:rPr>
        <w:t xml:space="preserve">=&lt;.001. De </w:t>
      </w:r>
      <w:r w:rsidRPr="00FF76A9">
        <w:rPr>
          <w:rFonts w:asciiTheme="minorHAnsi" w:hAnsiTheme="minorHAnsi" w:cstheme="minorHAnsi"/>
          <w:i/>
          <w:sz w:val="20"/>
          <w:szCs w:val="20"/>
        </w:rPr>
        <w:sym w:font="Symbol" w:char="F062"/>
      </w:r>
      <w:r w:rsidRPr="00FF76A9">
        <w:rPr>
          <w:rFonts w:asciiTheme="minorHAnsi" w:hAnsiTheme="minorHAnsi" w:cstheme="minorHAnsi"/>
          <w:sz w:val="20"/>
          <w:szCs w:val="20"/>
          <w:lang w:val="nl-NL"/>
        </w:rPr>
        <w:t xml:space="preserve"> coëfficiënten zijn gerapporteerd.</w:t>
      </w:r>
    </w:p>
    <w:p w:rsidR="00287160" w:rsidRPr="00FF76A9" w:rsidRDefault="00287160" w:rsidP="00287160">
      <w:pPr>
        <w:spacing w:line="360" w:lineRule="auto"/>
        <w:jc w:val="both"/>
        <w:rPr>
          <w:rFonts w:asciiTheme="minorHAnsi" w:hAnsiTheme="minorHAnsi" w:cstheme="minorHAnsi"/>
          <w:i/>
          <w:sz w:val="20"/>
          <w:szCs w:val="20"/>
          <w:lang w:val="nl-NL"/>
        </w:rPr>
      </w:pPr>
    </w:p>
    <w:p w:rsidR="00287160" w:rsidRPr="00FF76A9" w:rsidRDefault="00287160" w:rsidP="00287160">
      <w:pPr>
        <w:spacing w:line="360" w:lineRule="auto"/>
        <w:jc w:val="both"/>
        <w:rPr>
          <w:rFonts w:asciiTheme="minorHAnsi" w:hAnsiTheme="minorHAnsi" w:cstheme="minorHAnsi"/>
          <w:i/>
          <w:sz w:val="20"/>
          <w:szCs w:val="20"/>
        </w:rPr>
      </w:pPr>
      <w:r w:rsidRPr="00FF76A9">
        <w:rPr>
          <w:rFonts w:asciiTheme="minorHAnsi" w:hAnsiTheme="minorHAnsi" w:cstheme="minorHAnsi"/>
          <w:i/>
          <w:noProof/>
          <w:sz w:val="20"/>
          <w:szCs w:val="20"/>
        </w:rPr>
        <w:drawing>
          <wp:inline distT="0" distB="0" distL="0" distR="0" wp14:anchorId="66F0E02E" wp14:editId="41D538A0">
            <wp:extent cx="421957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9575" cy="1571625"/>
                    </a:xfrm>
                    <a:prstGeom prst="rect">
                      <a:avLst/>
                    </a:prstGeom>
                    <a:noFill/>
                    <a:ln>
                      <a:noFill/>
                    </a:ln>
                  </pic:spPr>
                </pic:pic>
              </a:graphicData>
            </a:graphic>
          </wp:inline>
        </w:drawing>
      </w:r>
    </w:p>
    <w:p w:rsidR="00287160" w:rsidRPr="00FF76A9" w:rsidRDefault="00287160" w:rsidP="00287160">
      <w:pPr>
        <w:spacing w:line="360" w:lineRule="auto"/>
        <w:jc w:val="both"/>
        <w:rPr>
          <w:rFonts w:asciiTheme="minorHAnsi" w:hAnsiTheme="minorHAnsi" w:cstheme="minorHAnsi"/>
          <w:i/>
          <w:sz w:val="20"/>
          <w:szCs w:val="20"/>
        </w:rPr>
      </w:pPr>
    </w:p>
    <w:p w:rsidR="00287160" w:rsidRPr="00FF76A9" w:rsidRDefault="00287160" w:rsidP="00287160">
      <w:pPr>
        <w:spacing w:line="360" w:lineRule="auto"/>
        <w:jc w:val="both"/>
        <w:rPr>
          <w:rFonts w:asciiTheme="minorHAnsi" w:hAnsiTheme="minorHAnsi" w:cstheme="minorHAnsi"/>
          <w:sz w:val="20"/>
          <w:szCs w:val="20"/>
          <w:lang w:val="nl-NL"/>
        </w:rPr>
      </w:pPr>
      <w:r w:rsidRPr="00FF76A9">
        <w:rPr>
          <w:rFonts w:asciiTheme="minorHAnsi" w:hAnsiTheme="minorHAnsi" w:cstheme="minorHAnsi"/>
          <w:i/>
          <w:sz w:val="20"/>
          <w:szCs w:val="20"/>
          <w:lang w:val="nl-NL"/>
        </w:rPr>
        <w:t>Figuur 2.</w:t>
      </w:r>
      <w:r w:rsidRPr="00FF76A9">
        <w:rPr>
          <w:rFonts w:asciiTheme="minorHAnsi" w:hAnsiTheme="minorHAnsi" w:cstheme="minorHAnsi"/>
          <w:sz w:val="20"/>
          <w:szCs w:val="20"/>
          <w:lang w:val="nl-NL"/>
        </w:rPr>
        <w:t xml:space="preserve">  Resultaten mediatieanalyses performance doel-oriëntatie op </w:t>
      </w:r>
      <w:proofErr w:type="spellStart"/>
      <w:r w:rsidRPr="00FF76A9">
        <w:rPr>
          <w:rFonts w:asciiTheme="minorHAnsi" w:hAnsiTheme="minorHAnsi" w:cstheme="minorHAnsi"/>
          <w:sz w:val="20"/>
          <w:szCs w:val="20"/>
          <w:lang w:val="nl-NL"/>
        </w:rPr>
        <w:t>inquiry</w:t>
      </w:r>
      <w:proofErr w:type="spellEnd"/>
      <w:r w:rsidRPr="00FF76A9">
        <w:rPr>
          <w:rFonts w:asciiTheme="minorHAnsi" w:hAnsiTheme="minorHAnsi" w:cstheme="minorHAnsi"/>
          <w:sz w:val="20"/>
          <w:szCs w:val="20"/>
          <w:lang w:val="nl-NL"/>
        </w:rPr>
        <w:t>- en monitoring FSB gemedieerd door een diepe leerstrategie</w:t>
      </w:r>
    </w:p>
    <w:p w:rsidR="00287160" w:rsidRPr="00FF76A9" w:rsidRDefault="00287160" w:rsidP="00287160">
      <w:pPr>
        <w:spacing w:line="360" w:lineRule="auto"/>
        <w:jc w:val="both"/>
        <w:rPr>
          <w:rFonts w:asciiTheme="minorHAnsi" w:hAnsiTheme="minorHAnsi" w:cstheme="minorHAnsi"/>
          <w:sz w:val="20"/>
          <w:szCs w:val="20"/>
          <w:lang w:val="nl-NL"/>
        </w:rPr>
      </w:pPr>
      <w:r w:rsidRPr="00FF76A9">
        <w:rPr>
          <w:rFonts w:asciiTheme="minorHAnsi" w:hAnsiTheme="minorHAnsi" w:cstheme="minorHAnsi"/>
          <w:i/>
          <w:sz w:val="20"/>
          <w:szCs w:val="20"/>
          <w:lang w:val="nl-NL"/>
        </w:rPr>
        <w:t>Noot.</w:t>
      </w:r>
      <w:r w:rsidRPr="00FF76A9">
        <w:rPr>
          <w:rFonts w:asciiTheme="minorHAnsi" w:hAnsiTheme="minorHAnsi" w:cstheme="minorHAnsi"/>
          <w:sz w:val="20"/>
          <w:szCs w:val="20"/>
          <w:lang w:val="nl-NL"/>
        </w:rPr>
        <w:t xml:space="preserve"> *</w:t>
      </w:r>
      <w:r w:rsidRPr="00FF76A9">
        <w:rPr>
          <w:rFonts w:asciiTheme="minorHAnsi" w:hAnsiTheme="minorHAnsi" w:cstheme="minorHAnsi"/>
          <w:i/>
          <w:sz w:val="20"/>
          <w:szCs w:val="20"/>
          <w:lang w:val="nl-NL"/>
        </w:rPr>
        <w:t>p=</w:t>
      </w:r>
      <w:r w:rsidRPr="00FF76A9">
        <w:rPr>
          <w:rFonts w:asciiTheme="minorHAnsi" w:hAnsiTheme="minorHAnsi" w:cstheme="minorHAnsi"/>
          <w:sz w:val="20"/>
          <w:szCs w:val="20"/>
          <w:lang w:val="nl-NL"/>
        </w:rPr>
        <w:t>&lt;.05, **</w:t>
      </w:r>
      <w:r w:rsidRPr="00FF76A9">
        <w:rPr>
          <w:rFonts w:asciiTheme="minorHAnsi" w:hAnsiTheme="minorHAnsi" w:cstheme="minorHAnsi"/>
          <w:i/>
          <w:sz w:val="20"/>
          <w:szCs w:val="20"/>
          <w:lang w:val="nl-NL"/>
        </w:rPr>
        <w:t>p</w:t>
      </w:r>
      <w:r w:rsidRPr="00FF76A9">
        <w:rPr>
          <w:rFonts w:asciiTheme="minorHAnsi" w:hAnsiTheme="minorHAnsi" w:cstheme="minorHAnsi"/>
          <w:sz w:val="20"/>
          <w:szCs w:val="20"/>
          <w:lang w:val="nl-NL"/>
        </w:rPr>
        <w:t>=&lt;.01, ***</w:t>
      </w:r>
      <w:r w:rsidRPr="00FF76A9">
        <w:rPr>
          <w:rFonts w:asciiTheme="minorHAnsi" w:hAnsiTheme="minorHAnsi" w:cstheme="minorHAnsi"/>
          <w:i/>
          <w:sz w:val="20"/>
          <w:szCs w:val="20"/>
          <w:lang w:val="nl-NL"/>
        </w:rPr>
        <w:t>p</w:t>
      </w:r>
      <w:r w:rsidRPr="00FF76A9">
        <w:rPr>
          <w:rFonts w:asciiTheme="minorHAnsi" w:hAnsiTheme="minorHAnsi" w:cstheme="minorHAnsi"/>
          <w:sz w:val="20"/>
          <w:szCs w:val="20"/>
          <w:lang w:val="nl-NL"/>
        </w:rPr>
        <w:t xml:space="preserve">=&lt;.001. De </w:t>
      </w:r>
      <w:r w:rsidRPr="00FF76A9">
        <w:rPr>
          <w:rFonts w:asciiTheme="minorHAnsi" w:hAnsiTheme="minorHAnsi" w:cstheme="minorHAnsi"/>
          <w:i/>
          <w:sz w:val="20"/>
          <w:szCs w:val="20"/>
        </w:rPr>
        <w:sym w:font="Symbol" w:char="F062"/>
      </w:r>
      <w:r w:rsidRPr="00FF76A9">
        <w:rPr>
          <w:rFonts w:asciiTheme="minorHAnsi" w:hAnsiTheme="minorHAnsi" w:cstheme="minorHAnsi"/>
          <w:sz w:val="20"/>
          <w:szCs w:val="20"/>
          <w:lang w:val="nl-NL"/>
        </w:rPr>
        <w:t xml:space="preserve"> coëfficiënten zijn gerapporteerd.</w:t>
      </w:r>
    </w:p>
    <w:p w:rsidR="00287160" w:rsidRPr="00E37F6F" w:rsidRDefault="00287160" w:rsidP="00287160">
      <w:pPr>
        <w:spacing w:line="360" w:lineRule="auto"/>
        <w:jc w:val="both"/>
        <w:rPr>
          <w:rFonts w:asciiTheme="minorHAnsi" w:hAnsiTheme="minorHAnsi" w:cstheme="minorHAnsi"/>
          <w:strike/>
          <w:sz w:val="20"/>
          <w:szCs w:val="20"/>
          <w:lang w:val="nl-NL"/>
        </w:rPr>
      </w:pPr>
    </w:p>
    <w:p w:rsidR="00287160" w:rsidRPr="00FF76A9" w:rsidRDefault="00287160" w:rsidP="00287160">
      <w:pPr>
        <w:spacing w:line="360" w:lineRule="auto"/>
        <w:jc w:val="both"/>
        <w:rPr>
          <w:rFonts w:asciiTheme="minorHAnsi" w:hAnsiTheme="minorHAnsi" w:cstheme="minorHAnsi"/>
          <w:sz w:val="20"/>
          <w:szCs w:val="20"/>
          <w:lang w:val="nl-NL"/>
        </w:rPr>
      </w:pPr>
      <w:r w:rsidRPr="00FF76A9">
        <w:rPr>
          <w:rFonts w:asciiTheme="minorHAnsi" w:hAnsiTheme="minorHAnsi" w:cstheme="minorHAnsi"/>
          <w:sz w:val="20"/>
          <w:szCs w:val="20"/>
          <w:lang w:val="nl-NL"/>
        </w:rPr>
        <w:t>Tabel 1.</w:t>
      </w:r>
    </w:p>
    <w:p w:rsidR="00287160" w:rsidRPr="00FF76A9" w:rsidRDefault="00287160" w:rsidP="00287160">
      <w:pPr>
        <w:spacing w:line="360" w:lineRule="auto"/>
        <w:jc w:val="both"/>
        <w:rPr>
          <w:rFonts w:asciiTheme="minorHAnsi" w:hAnsiTheme="minorHAnsi" w:cstheme="minorHAnsi"/>
          <w:i/>
          <w:sz w:val="20"/>
          <w:szCs w:val="20"/>
          <w:vertAlign w:val="subscript"/>
          <w:lang w:val="nl-NL"/>
        </w:rPr>
      </w:pPr>
      <w:r w:rsidRPr="00FF76A9">
        <w:rPr>
          <w:rFonts w:asciiTheme="minorHAnsi" w:hAnsiTheme="minorHAnsi" w:cstheme="minorHAnsi"/>
          <w:i/>
          <w:sz w:val="20"/>
          <w:szCs w:val="20"/>
          <w:lang w:val="nl-NL"/>
        </w:rPr>
        <w:t xml:space="preserve">Resultaten van de twee hiërarchische meervoudige regressieanalyses voor </w:t>
      </w:r>
      <w:proofErr w:type="spellStart"/>
      <w:r w:rsidRPr="00FF76A9">
        <w:rPr>
          <w:rFonts w:asciiTheme="minorHAnsi" w:hAnsiTheme="minorHAnsi" w:cstheme="minorHAnsi"/>
          <w:i/>
          <w:sz w:val="20"/>
          <w:szCs w:val="20"/>
          <w:lang w:val="nl-NL"/>
        </w:rPr>
        <w:t>mastery</w:t>
      </w:r>
      <w:proofErr w:type="spellEnd"/>
      <w:r w:rsidRPr="00FF76A9">
        <w:rPr>
          <w:rFonts w:asciiTheme="minorHAnsi" w:hAnsiTheme="minorHAnsi" w:cstheme="minorHAnsi"/>
          <w:i/>
          <w:sz w:val="20"/>
          <w:szCs w:val="20"/>
          <w:lang w:val="nl-NL"/>
        </w:rPr>
        <w:t>- en performance goal-</w:t>
      </w:r>
      <w:proofErr w:type="spellStart"/>
      <w:r w:rsidRPr="00FF76A9">
        <w:rPr>
          <w:rFonts w:asciiTheme="minorHAnsi" w:hAnsiTheme="minorHAnsi" w:cstheme="minorHAnsi"/>
          <w:i/>
          <w:sz w:val="20"/>
          <w:szCs w:val="20"/>
          <w:lang w:val="nl-NL"/>
        </w:rPr>
        <w:t>orientation</w:t>
      </w:r>
      <w:proofErr w:type="spellEnd"/>
      <w:r w:rsidRPr="00FF76A9">
        <w:rPr>
          <w:rFonts w:asciiTheme="minorHAnsi" w:hAnsiTheme="minorHAnsi" w:cstheme="minorHAnsi"/>
          <w:i/>
          <w:sz w:val="20"/>
          <w:szCs w:val="20"/>
          <w:lang w:val="nl-NL"/>
        </w:rPr>
        <w:t xml:space="preserve"> op zowel </w:t>
      </w:r>
      <w:proofErr w:type="spellStart"/>
      <w:r w:rsidRPr="00FF76A9">
        <w:rPr>
          <w:rFonts w:asciiTheme="minorHAnsi" w:hAnsiTheme="minorHAnsi" w:cstheme="minorHAnsi"/>
          <w:i/>
          <w:sz w:val="20"/>
          <w:szCs w:val="20"/>
          <w:lang w:val="nl-NL"/>
        </w:rPr>
        <w:t>inquiry</w:t>
      </w:r>
      <w:proofErr w:type="spellEnd"/>
      <w:r w:rsidRPr="00FF76A9">
        <w:rPr>
          <w:rFonts w:asciiTheme="minorHAnsi" w:hAnsiTheme="minorHAnsi" w:cstheme="minorHAnsi"/>
          <w:i/>
          <w:sz w:val="20"/>
          <w:szCs w:val="20"/>
          <w:lang w:val="nl-NL"/>
        </w:rPr>
        <w:t xml:space="preserve">- als monitoring FZG </w:t>
      </w:r>
    </w:p>
    <w:p w:rsidR="00287160" w:rsidRDefault="00287160" w:rsidP="00287160">
      <w:pPr>
        <w:widowControl w:val="0"/>
        <w:autoSpaceDE w:val="0"/>
        <w:autoSpaceDN w:val="0"/>
        <w:adjustRightInd w:val="0"/>
        <w:spacing w:before="120" w:line="360" w:lineRule="auto"/>
        <w:rPr>
          <w:rFonts w:asciiTheme="minorHAnsi" w:hAnsiTheme="minorHAnsi" w:cstheme="minorHAnsi"/>
          <w:i/>
          <w:iCs/>
          <w:color w:val="000000"/>
          <w:sz w:val="20"/>
          <w:szCs w:val="20"/>
          <w:lang w:val="nl-NL"/>
        </w:rPr>
      </w:pPr>
      <w:r w:rsidRPr="00FF76A9">
        <w:rPr>
          <w:rFonts w:asciiTheme="minorHAnsi" w:hAnsiTheme="minorHAnsi" w:cstheme="minorHAnsi"/>
          <w:noProof/>
          <w:sz w:val="20"/>
          <w:szCs w:val="20"/>
        </w:rPr>
        <w:drawing>
          <wp:inline distT="0" distB="0" distL="0" distR="0" wp14:anchorId="2BEA2BE4" wp14:editId="51A29488">
            <wp:extent cx="444817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1695450"/>
                    </a:xfrm>
                    <a:prstGeom prst="rect">
                      <a:avLst/>
                    </a:prstGeom>
                    <a:noFill/>
                    <a:ln>
                      <a:noFill/>
                    </a:ln>
                  </pic:spPr>
                </pic:pic>
              </a:graphicData>
            </a:graphic>
          </wp:inline>
        </w:drawing>
      </w:r>
    </w:p>
    <w:p w:rsidR="00287160" w:rsidRPr="00FF76A9" w:rsidRDefault="00287160" w:rsidP="00287160">
      <w:pPr>
        <w:widowControl w:val="0"/>
        <w:autoSpaceDE w:val="0"/>
        <w:autoSpaceDN w:val="0"/>
        <w:adjustRightInd w:val="0"/>
        <w:spacing w:before="120" w:line="360" w:lineRule="auto"/>
        <w:rPr>
          <w:rFonts w:asciiTheme="minorHAnsi" w:hAnsiTheme="minorHAnsi" w:cstheme="minorHAnsi"/>
          <w:sz w:val="20"/>
          <w:szCs w:val="20"/>
          <w:lang w:val="nl-NL"/>
        </w:rPr>
      </w:pPr>
      <w:r w:rsidRPr="00FF76A9">
        <w:rPr>
          <w:rFonts w:asciiTheme="minorHAnsi" w:hAnsiTheme="minorHAnsi" w:cstheme="minorHAnsi"/>
          <w:i/>
          <w:iCs/>
          <w:color w:val="000000"/>
          <w:sz w:val="20"/>
          <w:szCs w:val="20"/>
          <w:lang w:val="nl-NL"/>
        </w:rPr>
        <w:lastRenderedPageBreak/>
        <w:t>Noot:</w:t>
      </w:r>
      <w:r w:rsidRPr="00FF76A9">
        <w:rPr>
          <w:rFonts w:asciiTheme="minorHAnsi" w:hAnsiTheme="minorHAnsi" w:cstheme="minorHAnsi"/>
          <w:color w:val="000000"/>
          <w:sz w:val="20"/>
          <w:szCs w:val="20"/>
          <w:lang w:val="nl-NL"/>
        </w:rPr>
        <w:t xml:space="preserve"> </w:t>
      </w:r>
      <w:r w:rsidRPr="00FF76A9">
        <w:rPr>
          <w:rFonts w:asciiTheme="minorHAnsi" w:hAnsiTheme="minorHAnsi" w:cstheme="minorHAnsi"/>
          <w:i/>
          <w:color w:val="000000" w:themeColor="text1"/>
          <w:sz w:val="20"/>
          <w:szCs w:val="20"/>
        </w:rPr>
        <w:sym w:font="Symbol" w:char="F044"/>
      </w:r>
      <w:r w:rsidRPr="00FF76A9">
        <w:rPr>
          <w:rFonts w:asciiTheme="minorHAnsi" w:hAnsiTheme="minorHAnsi" w:cstheme="minorHAnsi"/>
          <w:i/>
          <w:color w:val="000000" w:themeColor="text1"/>
          <w:sz w:val="20"/>
          <w:szCs w:val="20"/>
          <w:lang w:val="nl-NL"/>
        </w:rPr>
        <w:t>R</w:t>
      </w:r>
      <w:r w:rsidRPr="00FF76A9">
        <w:rPr>
          <w:rFonts w:asciiTheme="minorHAnsi" w:hAnsiTheme="minorHAnsi" w:cstheme="minorHAnsi"/>
          <w:i/>
          <w:color w:val="000000" w:themeColor="text1"/>
          <w:sz w:val="20"/>
          <w:szCs w:val="20"/>
          <w:vertAlign w:val="superscript"/>
          <w:lang w:val="nl-NL"/>
        </w:rPr>
        <w:t>2</w:t>
      </w:r>
      <w:r w:rsidRPr="00FF76A9">
        <w:rPr>
          <w:rFonts w:asciiTheme="minorHAnsi" w:hAnsiTheme="minorHAnsi" w:cstheme="minorHAnsi"/>
          <w:i/>
          <w:color w:val="000000" w:themeColor="text1"/>
          <w:sz w:val="20"/>
          <w:szCs w:val="20"/>
          <w:lang w:val="nl-NL"/>
        </w:rPr>
        <w:t>=</w:t>
      </w:r>
      <w:proofErr w:type="spellStart"/>
      <w:r w:rsidRPr="00FF76A9">
        <w:rPr>
          <w:rFonts w:asciiTheme="minorHAnsi" w:hAnsiTheme="minorHAnsi" w:cstheme="minorHAnsi"/>
          <w:color w:val="000000" w:themeColor="text1"/>
          <w:sz w:val="20"/>
          <w:szCs w:val="20"/>
          <w:lang w:val="nl-NL"/>
        </w:rPr>
        <w:t>Adjusted</w:t>
      </w:r>
      <w:proofErr w:type="spellEnd"/>
      <w:r w:rsidRPr="00FF76A9">
        <w:rPr>
          <w:rFonts w:asciiTheme="minorHAnsi" w:hAnsiTheme="minorHAnsi" w:cstheme="minorHAnsi"/>
          <w:color w:val="000000" w:themeColor="text1"/>
          <w:sz w:val="20"/>
          <w:szCs w:val="20"/>
          <w:lang w:val="nl-NL"/>
        </w:rPr>
        <w:t xml:space="preserve"> R Square</w:t>
      </w:r>
      <w:r w:rsidRPr="00FF76A9">
        <w:rPr>
          <w:rFonts w:asciiTheme="minorHAnsi" w:hAnsiTheme="minorHAnsi" w:cstheme="minorHAnsi"/>
          <w:i/>
          <w:color w:val="000000" w:themeColor="text1"/>
          <w:sz w:val="20"/>
          <w:szCs w:val="20"/>
          <w:lang w:val="nl-NL"/>
        </w:rPr>
        <w:t xml:space="preserve"> </w:t>
      </w:r>
      <w:r w:rsidRPr="00FF76A9">
        <w:rPr>
          <w:rFonts w:asciiTheme="minorHAnsi" w:hAnsiTheme="minorHAnsi" w:cstheme="minorHAnsi"/>
          <w:color w:val="000000" w:themeColor="text1"/>
          <w:sz w:val="20"/>
          <w:szCs w:val="20"/>
          <w:lang w:val="nl-NL"/>
        </w:rPr>
        <w:t xml:space="preserve">en is gegeven per regressiemodel, </w:t>
      </w:r>
      <w:r w:rsidRPr="00FF76A9">
        <w:rPr>
          <w:rFonts w:asciiTheme="minorHAnsi" w:hAnsiTheme="minorHAnsi" w:cstheme="minorHAnsi"/>
          <w:color w:val="000000"/>
          <w:sz w:val="20"/>
          <w:szCs w:val="20"/>
          <w:lang w:val="nl-NL"/>
        </w:rPr>
        <w:t xml:space="preserve">SE=standaard error, </w:t>
      </w:r>
      <w:r w:rsidRPr="00FF76A9">
        <w:rPr>
          <w:rFonts w:asciiTheme="minorHAnsi" w:hAnsiTheme="minorHAnsi" w:cstheme="minorHAnsi"/>
          <w:sz w:val="20"/>
          <w:szCs w:val="20"/>
          <w:lang w:val="nl-NL"/>
        </w:rPr>
        <w:t>*</w:t>
      </w:r>
      <w:r w:rsidRPr="00FF76A9">
        <w:rPr>
          <w:rFonts w:asciiTheme="minorHAnsi" w:hAnsiTheme="minorHAnsi" w:cstheme="minorHAnsi"/>
          <w:i/>
          <w:sz w:val="20"/>
          <w:szCs w:val="20"/>
          <w:lang w:val="nl-NL"/>
        </w:rPr>
        <w:t>p=</w:t>
      </w:r>
      <w:r w:rsidRPr="00FF76A9">
        <w:rPr>
          <w:rFonts w:asciiTheme="minorHAnsi" w:hAnsiTheme="minorHAnsi" w:cstheme="minorHAnsi"/>
          <w:sz w:val="20"/>
          <w:szCs w:val="20"/>
          <w:lang w:val="nl-NL"/>
        </w:rPr>
        <w:t>&lt;.05, **</w:t>
      </w:r>
      <w:r w:rsidRPr="00FF76A9">
        <w:rPr>
          <w:rFonts w:asciiTheme="minorHAnsi" w:hAnsiTheme="minorHAnsi" w:cstheme="minorHAnsi"/>
          <w:i/>
          <w:sz w:val="20"/>
          <w:szCs w:val="20"/>
          <w:lang w:val="nl-NL"/>
        </w:rPr>
        <w:t>p</w:t>
      </w:r>
      <w:r w:rsidRPr="00FF76A9">
        <w:rPr>
          <w:rFonts w:asciiTheme="minorHAnsi" w:hAnsiTheme="minorHAnsi" w:cstheme="minorHAnsi"/>
          <w:sz w:val="20"/>
          <w:szCs w:val="20"/>
          <w:lang w:val="nl-NL"/>
        </w:rPr>
        <w:t>=&lt;.01, ***</w:t>
      </w:r>
      <w:r w:rsidRPr="00FF76A9">
        <w:rPr>
          <w:rFonts w:asciiTheme="minorHAnsi" w:hAnsiTheme="minorHAnsi" w:cstheme="minorHAnsi"/>
          <w:i/>
          <w:sz w:val="20"/>
          <w:szCs w:val="20"/>
          <w:lang w:val="nl-NL"/>
        </w:rPr>
        <w:t>p</w:t>
      </w:r>
      <w:r w:rsidRPr="00FF76A9">
        <w:rPr>
          <w:rFonts w:asciiTheme="minorHAnsi" w:hAnsiTheme="minorHAnsi" w:cstheme="minorHAnsi"/>
          <w:sz w:val="20"/>
          <w:szCs w:val="20"/>
          <w:lang w:val="nl-NL"/>
        </w:rPr>
        <w:t>=&lt;.001.</w:t>
      </w:r>
    </w:p>
    <w:p w:rsidR="00287160" w:rsidRPr="00FF76A9" w:rsidRDefault="00287160" w:rsidP="00287160">
      <w:pPr>
        <w:widowControl w:val="0"/>
        <w:autoSpaceDE w:val="0"/>
        <w:autoSpaceDN w:val="0"/>
        <w:adjustRightInd w:val="0"/>
        <w:spacing w:before="120" w:line="360" w:lineRule="auto"/>
        <w:rPr>
          <w:rFonts w:asciiTheme="minorHAnsi" w:hAnsiTheme="minorHAnsi" w:cstheme="minorHAnsi"/>
          <w:sz w:val="20"/>
          <w:szCs w:val="20"/>
          <w:lang w:val="nl-NL"/>
        </w:rPr>
      </w:pPr>
    </w:p>
    <w:p w:rsidR="00287160" w:rsidRPr="00E37F6F" w:rsidRDefault="00287160" w:rsidP="00287160">
      <w:pPr>
        <w:spacing w:line="360" w:lineRule="auto"/>
        <w:jc w:val="both"/>
        <w:rPr>
          <w:rFonts w:asciiTheme="minorHAnsi" w:hAnsiTheme="minorHAnsi" w:cstheme="minorHAnsi"/>
          <w:i/>
          <w:color w:val="000000" w:themeColor="text1"/>
          <w:sz w:val="20"/>
          <w:szCs w:val="20"/>
          <w:lang w:val="nl-NL"/>
        </w:rPr>
      </w:pPr>
      <w:r w:rsidRPr="00E37F6F">
        <w:rPr>
          <w:rFonts w:asciiTheme="minorHAnsi" w:hAnsiTheme="minorHAnsi" w:cstheme="minorHAnsi"/>
          <w:i/>
          <w:color w:val="000000" w:themeColor="text1"/>
          <w:sz w:val="20"/>
          <w:szCs w:val="20"/>
          <w:lang w:val="nl-NL"/>
        </w:rPr>
        <w:t>Wetenschappelijke en praktische betekenis van de bijdrage</w:t>
      </w:r>
    </w:p>
    <w:p w:rsidR="00287160" w:rsidRPr="00FF76A9" w:rsidRDefault="00287160" w:rsidP="00287160">
      <w:pPr>
        <w:spacing w:line="360" w:lineRule="auto"/>
        <w:jc w:val="both"/>
        <w:rPr>
          <w:rFonts w:asciiTheme="minorHAnsi" w:hAnsiTheme="minorHAnsi" w:cstheme="minorHAnsi"/>
          <w:color w:val="000000" w:themeColor="text1"/>
          <w:sz w:val="20"/>
          <w:szCs w:val="20"/>
          <w:lang w:val="nl-NL"/>
        </w:rPr>
      </w:pPr>
      <w:r w:rsidRPr="00FF76A9">
        <w:rPr>
          <w:rFonts w:asciiTheme="minorHAnsi" w:hAnsiTheme="minorHAnsi" w:cstheme="minorHAnsi"/>
          <w:color w:val="000000" w:themeColor="text1"/>
          <w:sz w:val="20"/>
          <w:szCs w:val="20"/>
          <w:lang w:val="nl-NL"/>
        </w:rPr>
        <w:t xml:space="preserve">Deze studie heeft een bijdrage geleverd aan de algemene wetenschappelijke kennis over FZG, doel-oriëntatie en </w:t>
      </w:r>
      <w:proofErr w:type="spellStart"/>
      <w:r w:rsidRPr="00FF76A9">
        <w:rPr>
          <w:rFonts w:asciiTheme="minorHAnsi" w:hAnsiTheme="minorHAnsi" w:cstheme="minorHAnsi"/>
          <w:color w:val="000000" w:themeColor="text1"/>
          <w:sz w:val="20"/>
          <w:szCs w:val="20"/>
          <w:lang w:val="nl-NL"/>
        </w:rPr>
        <w:t>deep-learning</w:t>
      </w:r>
      <w:proofErr w:type="spellEnd"/>
      <w:r w:rsidRPr="00FF76A9">
        <w:rPr>
          <w:rFonts w:asciiTheme="minorHAnsi" w:hAnsiTheme="minorHAnsi" w:cstheme="minorHAnsi"/>
          <w:color w:val="000000" w:themeColor="text1"/>
          <w:sz w:val="20"/>
          <w:szCs w:val="20"/>
          <w:lang w:val="nl-NL"/>
        </w:rPr>
        <w:t xml:space="preserve"> leerstrategie, evenals aan het begrijpen van de specifieke relaties tussen deze variabelen in hbo-context. Uit deze studie blijkt dat wanneer hbo-opleidingen hun studenten willen stimuleren om actief feedback te zoeken, ze rekening moeten houden met de doel-oriëntatie en, mede daardoor, </w:t>
      </w:r>
      <w:proofErr w:type="spellStart"/>
      <w:r w:rsidRPr="00FF76A9">
        <w:rPr>
          <w:rFonts w:asciiTheme="minorHAnsi" w:hAnsiTheme="minorHAnsi" w:cstheme="minorHAnsi"/>
          <w:color w:val="000000" w:themeColor="text1"/>
          <w:sz w:val="20"/>
          <w:szCs w:val="20"/>
          <w:lang w:val="nl-NL"/>
        </w:rPr>
        <w:t>deep</w:t>
      </w:r>
      <w:proofErr w:type="spellEnd"/>
      <w:r w:rsidRPr="00FF76A9">
        <w:rPr>
          <w:rFonts w:asciiTheme="minorHAnsi" w:hAnsiTheme="minorHAnsi" w:cstheme="minorHAnsi"/>
          <w:color w:val="000000" w:themeColor="text1"/>
          <w:sz w:val="20"/>
          <w:szCs w:val="20"/>
          <w:lang w:val="nl-NL"/>
        </w:rPr>
        <w:t>–</w:t>
      </w:r>
      <w:proofErr w:type="spellStart"/>
      <w:r w:rsidRPr="00FF76A9">
        <w:rPr>
          <w:rFonts w:asciiTheme="minorHAnsi" w:hAnsiTheme="minorHAnsi" w:cstheme="minorHAnsi"/>
          <w:color w:val="000000" w:themeColor="text1"/>
          <w:sz w:val="20"/>
          <w:szCs w:val="20"/>
          <w:lang w:val="nl-NL"/>
        </w:rPr>
        <w:t>learning</w:t>
      </w:r>
      <w:proofErr w:type="spellEnd"/>
      <w:r w:rsidRPr="00FF76A9">
        <w:rPr>
          <w:rFonts w:asciiTheme="minorHAnsi" w:hAnsiTheme="minorHAnsi" w:cstheme="minorHAnsi"/>
          <w:color w:val="000000" w:themeColor="text1"/>
          <w:sz w:val="20"/>
          <w:szCs w:val="20"/>
          <w:lang w:val="nl-NL"/>
        </w:rPr>
        <w:t xml:space="preserve"> leerstrategie van studenten.</w:t>
      </w:r>
    </w:p>
    <w:p w:rsidR="005057B9" w:rsidRPr="00287160" w:rsidRDefault="005057B9">
      <w:pPr>
        <w:rPr>
          <w:lang w:val="nl-NL"/>
        </w:rPr>
      </w:pPr>
      <w:bookmarkStart w:id="0" w:name="_GoBack"/>
      <w:bookmarkEnd w:id="0"/>
    </w:p>
    <w:sectPr w:rsidR="005057B9" w:rsidRPr="00287160" w:rsidSect="00F736A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60"/>
    <w:rsid w:val="00287160"/>
    <w:rsid w:val="005057B9"/>
    <w:rsid w:val="00F7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AFF79-7950-4E81-8A9E-24B5169F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60"/>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M.J.M. Leenknecht</dc:creator>
  <cp:keywords/>
  <dc:description/>
  <cp:lastModifiedBy>M.J.M. Leenknecht</cp:lastModifiedBy>
  <cp:revision>1</cp:revision>
  <dcterms:created xsi:type="dcterms:W3CDTF">2018-04-30T12:50:00Z</dcterms:created>
  <dcterms:modified xsi:type="dcterms:W3CDTF">2018-04-30T12:51:00Z</dcterms:modified>
</cp:coreProperties>
</file>